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25" w:rsidRDefault="00951025" w:rsidP="00A0011A">
      <w:pPr>
        <w:jc w:val="both"/>
        <w:rPr>
          <w:rFonts w:ascii="Benguiat Bk BT" w:hAnsi="Benguiat Bk BT"/>
          <w:i/>
          <w:color w:val="000000"/>
          <w:sz w:val="26"/>
          <w:szCs w:val="26"/>
        </w:rPr>
      </w:pPr>
      <w:r>
        <w:rPr>
          <w:noProof/>
          <w:color w:val="000000"/>
          <w:sz w:val="20"/>
          <w:szCs w:val="18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66424292" wp14:editId="1700C451">
            <wp:simplePos x="0" y="0"/>
            <wp:positionH relativeFrom="page">
              <wp:posOffset>3227705</wp:posOffset>
            </wp:positionH>
            <wp:positionV relativeFrom="paragraph">
              <wp:posOffset>9525</wp:posOffset>
            </wp:positionV>
            <wp:extent cx="952500" cy="952500"/>
            <wp:effectExtent l="0" t="0" r="0" b="0"/>
            <wp:wrapThrough wrapText="bothSides">
              <wp:wrapPolygon edited="0">
                <wp:start x="1728" y="0"/>
                <wp:lineTo x="0" y="864"/>
                <wp:lineTo x="0" y="19008"/>
                <wp:lineTo x="432" y="20736"/>
                <wp:lineTo x="1728" y="21168"/>
                <wp:lineTo x="19440" y="21168"/>
                <wp:lineTo x="20736" y="20736"/>
                <wp:lineTo x="21168" y="19008"/>
                <wp:lineTo x="21168" y="864"/>
                <wp:lineTo x="19440" y="0"/>
                <wp:lineTo x="1728" y="0"/>
              </wp:wrapPolygon>
            </wp:wrapThrough>
            <wp:docPr id="2" name="0 Imagen" descr="i9JrMP9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9JrMP9L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025" w:rsidRDefault="00951025" w:rsidP="00A0011A">
      <w:pPr>
        <w:jc w:val="both"/>
        <w:rPr>
          <w:rFonts w:ascii="Benguiat Bk BT" w:hAnsi="Benguiat Bk BT"/>
          <w:i/>
          <w:color w:val="000000"/>
          <w:sz w:val="26"/>
          <w:szCs w:val="26"/>
        </w:rPr>
      </w:pPr>
    </w:p>
    <w:p w:rsidR="00951025" w:rsidRDefault="00951025" w:rsidP="00A0011A">
      <w:pPr>
        <w:jc w:val="both"/>
        <w:rPr>
          <w:rFonts w:ascii="Benguiat Bk BT" w:hAnsi="Benguiat Bk BT"/>
          <w:i/>
          <w:color w:val="000000"/>
          <w:sz w:val="26"/>
          <w:szCs w:val="26"/>
        </w:rPr>
      </w:pPr>
    </w:p>
    <w:p w:rsidR="00951025" w:rsidRDefault="00951025" w:rsidP="00A0011A">
      <w:pPr>
        <w:jc w:val="both"/>
        <w:rPr>
          <w:rFonts w:ascii="Benguiat Bk BT" w:hAnsi="Benguiat Bk BT"/>
          <w:i/>
          <w:color w:val="000000"/>
          <w:sz w:val="26"/>
          <w:szCs w:val="26"/>
        </w:rPr>
      </w:pPr>
    </w:p>
    <w:p w:rsidR="00951025" w:rsidRDefault="00951025" w:rsidP="00A0011A">
      <w:pPr>
        <w:jc w:val="both"/>
        <w:rPr>
          <w:b/>
          <w:i/>
          <w:color w:val="000000"/>
          <w:szCs w:val="26"/>
        </w:rPr>
      </w:pPr>
    </w:p>
    <w:p w:rsidR="00951025" w:rsidRPr="00DA0A79" w:rsidRDefault="00951025" w:rsidP="00A0011A">
      <w:pPr>
        <w:jc w:val="center"/>
        <w:rPr>
          <w:b/>
          <w:bCs/>
          <w:i/>
          <w:color w:val="000000"/>
          <w:szCs w:val="26"/>
        </w:rPr>
      </w:pPr>
      <w:r w:rsidRPr="00DA0A79">
        <w:rPr>
          <w:b/>
          <w:i/>
          <w:color w:val="000000"/>
          <w:szCs w:val="26"/>
        </w:rPr>
        <w:t>REPÚBLICA DOMINICANA</w:t>
      </w:r>
    </w:p>
    <w:p w:rsidR="00951025" w:rsidRPr="00DA0A79" w:rsidRDefault="00951025" w:rsidP="00A0011A">
      <w:pPr>
        <w:tabs>
          <w:tab w:val="left" w:pos="142"/>
        </w:tabs>
        <w:jc w:val="center"/>
        <w:rPr>
          <w:i/>
          <w:color w:val="000000"/>
          <w:szCs w:val="26"/>
        </w:rPr>
      </w:pPr>
      <w:r w:rsidRPr="00DA0A79">
        <w:rPr>
          <w:i/>
          <w:color w:val="000000"/>
          <w:szCs w:val="26"/>
        </w:rPr>
        <w:t xml:space="preserve">DIRECCIÓN GENERAL DE LAS ESCUELAS VOCACIONALES DE LAS FF.AA. Y </w:t>
      </w:r>
      <w:r>
        <w:rPr>
          <w:i/>
          <w:color w:val="000000"/>
          <w:szCs w:val="26"/>
        </w:rPr>
        <w:t xml:space="preserve">DE </w:t>
      </w:r>
      <w:r w:rsidRPr="00DA0A79">
        <w:rPr>
          <w:i/>
          <w:color w:val="000000"/>
          <w:szCs w:val="26"/>
        </w:rPr>
        <w:t>LA P.N.</w:t>
      </w:r>
    </w:p>
    <w:p w:rsidR="00951025" w:rsidRPr="00DA0A79" w:rsidRDefault="00951025" w:rsidP="00A0011A">
      <w:pPr>
        <w:jc w:val="center"/>
        <w:rPr>
          <w:i/>
          <w:color w:val="000000"/>
          <w:szCs w:val="26"/>
        </w:rPr>
      </w:pPr>
      <w:r w:rsidRPr="00DA0A79">
        <w:rPr>
          <w:i/>
          <w:color w:val="000000"/>
          <w:szCs w:val="26"/>
        </w:rPr>
        <w:t>SANTO DOMINGO ESTE</w:t>
      </w:r>
    </w:p>
    <w:p w:rsidR="00951025" w:rsidRPr="00DA0A79" w:rsidRDefault="00951025" w:rsidP="00A0011A">
      <w:pPr>
        <w:pStyle w:val="Textoindependiente"/>
        <w:rPr>
          <w:i/>
          <w:color w:val="000000"/>
          <w:sz w:val="24"/>
          <w:szCs w:val="26"/>
        </w:rPr>
      </w:pPr>
      <w:r w:rsidRPr="00DA0A79">
        <w:rPr>
          <w:i/>
          <w:noProof/>
          <w:color w:val="000000" w:themeColor="text1"/>
          <w:szCs w:val="22"/>
          <w:lang w:val="es-DO" w:eastAsia="es-DO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37812C6" wp14:editId="0074E404">
                <wp:simplePos x="0" y="0"/>
                <wp:positionH relativeFrom="column">
                  <wp:posOffset>2414270</wp:posOffset>
                </wp:positionH>
                <wp:positionV relativeFrom="paragraph">
                  <wp:posOffset>8255</wp:posOffset>
                </wp:positionV>
                <wp:extent cx="930910" cy="153035"/>
                <wp:effectExtent l="0" t="0" r="2540" b="37465"/>
                <wp:wrapThrough wrapText="bothSides">
                  <wp:wrapPolygon edited="0">
                    <wp:start x="9724" y="0"/>
                    <wp:lineTo x="0" y="10755"/>
                    <wp:lineTo x="0" y="18822"/>
                    <wp:lineTo x="9724" y="24199"/>
                    <wp:lineTo x="12377" y="24199"/>
                    <wp:lineTo x="21217" y="18822"/>
                    <wp:lineTo x="21217" y="10755"/>
                    <wp:lineTo x="12377" y="0"/>
                    <wp:lineTo x="9724" y="0"/>
                  </wp:wrapPolygon>
                </wp:wrapThrough>
                <wp:docPr id="5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flipV="1">
                            <a:off x="438150" y="38100"/>
                            <a:ext cx="76200" cy="114335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26035" y="91494"/>
                            <a:ext cx="89535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565AA4A" id="Lienzo 2" o:spid="_x0000_s1026" editas="canvas" style="position:absolute;margin-left:190.1pt;margin-top:.65pt;width:73.3pt;height:12.05pt;z-index:251660288" coordsize="9309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309;height:1530;visibility:visible;mso-wrap-style:square">
                  <v:fill o:detectmouseclick="t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110" style="position:absolute;left:4381;top:381;width:762;height:114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" fillcolor="black"/>
                <v:line id="Line 5" o:spid="_x0000_s1029" style="position:absolute;visibility:visible;mso-wrap-style:square" from="260,914" to="9213,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wrap type="through"/>
              </v:group>
            </w:pict>
          </mc:Fallback>
        </mc:AlternateContent>
      </w:r>
      <w:r w:rsidRPr="00DA0A79">
        <w:rPr>
          <w:i/>
          <w:color w:val="000000"/>
          <w:sz w:val="24"/>
          <w:szCs w:val="26"/>
        </w:rPr>
        <w:br/>
      </w:r>
    </w:p>
    <w:p w:rsidR="00951025" w:rsidRPr="00DA0A79" w:rsidRDefault="00951025" w:rsidP="00A0011A">
      <w:pPr>
        <w:pStyle w:val="Textoindependiente"/>
        <w:rPr>
          <w:i/>
          <w:color w:val="000000"/>
          <w:sz w:val="2"/>
          <w:szCs w:val="26"/>
        </w:rPr>
      </w:pPr>
    </w:p>
    <w:p w:rsidR="00951025" w:rsidRPr="007374EC" w:rsidRDefault="00951025" w:rsidP="00A0011A">
      <w:pPr>
        <w:pStyle w:val="Textoindependiente"/>
        <w:rPr>
          <w:b/>
          <w:i/>
          <w:color w:val="000000"/>
          <w:sz w:val="24"/>
          <w:szCs w:val="26"/>
        </w:rPr>
      </w:pPr>
      <w:r w:rsidRPr="007374EC">
        <w:rPr>
          <w:b/>
          <w:i/>
          <w:color w:val="000000"/>
          <w:sz w:val="24"/>
          <w:szCs w:val="26"/>
        </w:rPr>
        <w:t>(TODO POR LA PATRIA)</w:t>
      </w:r>
    </w:p>
    <w:p w:rsidR="00951025" w:rsidRDefault="00951025" w:rsidP="00A0011A">
      <w:pPr>
        <w:jc w:val="center"/>
        <w:rPr>
          <w:b/>
          <w:i/>
          <w:color w:val="000000"/>
          <w:sz w:val="32"/>
          <w:szCs w:val="26"/>
        </w:rPr>
      </w:pPr>
    </w:p>
    <w:p w:rsidR="00951025" w:rsidRPr="00900AC5" w:rsidRDefault="00951025" w:rsidP="00A0011A">
      <w:pPr>
        <w:jc w:val="center"/>
        <w:rPr>
          <w:b/>
          <w:i/>
          <w:color w:val="000000"/>
          <w:sz w:val="32"/>
          <w:szCs w:val="26"/>
          <w:lang w:val="es-DO"/>
        </w:rPr>
      </w:pPr>
      <w:r w:rsidRPr="00900AC5">
        <w:rPr>
          <w:b/>
          <w:i/>
          <w:color w:val="000000"/>
          <w:sz w:val="32"/>
          <w:szCs w:val="26"/>
        </w:rPr>
        <w:t xml:space="preserve">Memoria de Gestión </w:t>
      </w:r>
      <w:r>
        <w:rPr>
          <w:b/>
          <w:i/>
          <w:color w:val="000000"/>
          <w:sz w:val="32"/>
          <w:szCs w:val="26"/>
        </w:rPr>
        <w:t xml:space="preserve">del </w:t>
      </w:r>
      <w:r>
        <w:rPr>
          <w:b/>
          <w:i/>
          <w:color w:val="000000"/>
          <w:sz w:val="32"/>
          <w:szCs w:val="26"/>
          <w:lang w:val="es-DO"/>
        </w:rPr>
        <w:t>año 2023</w:t>
      </w:r>
    </w:p>
    <w:p w:rsidR="00951025" w:rsidRDefault="00951025" w:rsidP="00A0011A">
      <w:pPr>
        <w:jc w:val="center"/>
        <w:rPr>
          <w:b/>
          <w:i/>
          <w:color w:val="000000"/>
          <w:sz w:val="32"/>
          <w:szCs w:val="26"/>
          <w:lang w:val="es-DO"/>
        </w:rPr>
      </w:pPr>
      <w:r w:rsidRPr="00900AC5">
        <w:rPr>
          <w:b/>
          <w:i/>
          <w:color w:val="000000"/>
          <w:sz w:val="32"/>
          <w:szCs w:val="26"/>
          <w:lang w:val="es-DO"/>
        </w:rPr>
        <w:t>Departamento de Libre Acceso a la Información Pública</w:t>
      </w:r>
    </w:p>
    <w:p w:rsidR="005259D4" w:rsidRDefault="005259D4" w:rsidP="00A0011A">
      <w:pPr>
        <w:jc w:val="both"/>
        <w:rPr>
          <w:lang w:val="es-DO"/>
        </w:rPr>
      </w:pPr>
    </w:p>
    <w:p w:rsidR="00951025" w:rsidRDefault="00951025" w:rsidP="00A0011A">
      <w:pPr>
        <w:jc w:val="both"/>
        <w:rPr>
          <w:lang w:val="es-DO"/>
        </w:rPr>
      </w:pPr>
    </w:p>
    <w:p w:rsidR="00951025" w:rsidRPr="00E75031" w:rsidRDefault="00951025" w:rsidP="00E75031">
      <w:pPr>
        <w:pStyle w:val="Prrafodelista"/>
        <w:numPr>
          <w:ilvl w:val="0"/>
          <w:numId w:val="1"/>
        </w:numPr>
        <w:jc w:val="both"/>
        <w:rPr>
          <w:b/>
          <w:i/>
          <w:sz w:val="32"/>
          <w:lang w:val="es-DO"/>
        </w:rPr>
      </w:pPr>
      <w:r w:rsidRPr="00E75031">
        <w:rPr>
          <w:b/>
          <w:i/>
          <w:sz w:val="32"/>
          <w:lang w:val="es-DO"/>
        </w:rPr>
        <w:t xml:space="preserve">Transparencia y Acceso a la Informacion Pública </w:t>
      </w:r>
    </w:p>
    <w:p w:rsidR="00951025" w:rsidRDefault="00951025" w:rsidP="00A0011A">
      <w:pPr>
        <w:jc w:val="both"/>
        <w:rPr>
          <w:b/>
          <w:i/>
          <w:sz w:val="28"/>
          <w:lang w:val="es-DO"/>
        </w:rPr>
      </w:pPr>
    </w:p>
    <w:p w:rsidR="00951025" w:rsidRDefault="00951025" w:rsidP="00A0011A">
      <w:pPr>
        <w:jc w:val="both"/>
        <w:rPr>
          <w:i/>
          <w:sz w:val="28"/>
          <w:lang w:val="es-DO"/>
        </w:rPr>
      </w:pPr>
      <w:r>
        <w:rPr>
          <w:i/>
          <w:sz w:val="28"/>
          <w:lang w:val="es-DO"/>
        </w:rPr>
        <w:t>En cumplimiento a la Ley General 200-04 de Libre Acceso a la Informacion Publica, en el p</w:t>
      </w:r>
      <w:r w:rsidR="00F27772">
        <w:rPr>
          <w:i/>
          <w:sz w:val="28"/>
          <w:lang w:val="es-DO"/>
        </w:rPr>
        <w:t>eriodo comprendido</w:t>
      </w:r>
      <w:r>
        <w:rPr>
          <w:i/>
          <w:sz w:val="28"/>
          <w:lang w:val="es-DO"/>
        </w:rPr>
        <w:t xml:space="preserve"> Enero – </w:t>
      </w:r>
      <w:proofErr w:type="gramStart"/>
      <w:r>
        <w:rPr>
          <w:i/>
          <w:sz w:val="28"/>
          <w:lang w:val="es-DO"/>
        </w:rPr>
        <w:t>Diciembre</w:t>
      </w:r>
      <w:proofErr w:type="gramEnd"/>
      <w:r>
        <w:rPr>
          <w:i/>
          <w:sz w:val="28"/>
          <w:lang w:val="es-DO"/>
        </w:rPr>
        <w:t xml:space="preserve"> 2023, fueron recibidas a través del </w:t>
      </w:r>
      <w:r w:rsidRPr="00951025">
        <w:rPr>
          <w:i/>
          <w:sz w:val="28"/>
          <w:lang w:val="es-DO"/>
        </w:rPr>
        <w:t>Portal Único de Solicitud de Acceso a la Información Pública</w:t>
      </w:r>
      <w:r>
        <w:rPr>
          <w:i/>
          <w:sz w:val="28"/>
          <w:lang w:val="es-DO"/>
        </w:rPr>
        <w:t xml:space="preserve"> (SAIP) un total de dos (2) solicitudes de información, las cuales fueron completadas en un tiempo oportuno</w:t>
      </w:r>
      <w:r w:rsidR="00A0011A">
        <w:rPr>
          <w:i/>
          <w:sz w:val="28"/>
          <w:lang w:val="es-DO"/>
        </w:rPr>
        <w:t>.</w:t>
      </w:r>
    </w:p>
    <w:p w:rsidR="00A0011A" w:rsidRDefault="00A0011A" w:rsidP="00A0011A">
      <w:pPr>
        <w:jc w:val="both"/>
        <w:rPr>
          <w:i/>
          <w:sz w:val="28"/>
          <w:lang w:val="es-DO"/>
        </w:rPr>
      </w:pPr>
    </w:p>
    <w:p w:rsidR="00951025" w:rsidRDefault="00951025" w:rsidP="00A0011A">
      <w:pPr>
        <w:jc w:val="both"/>
        <w:rPr>
          <w:i/>
          <w:sz w:val="28"/>
          <w:lang w:val="es-DO"/>
        </w:rPr>
      </w:pPr>
    </w:p>
    <w:p w:rsidR="00951025" w:rsidRPr="00E75031" w:rsidRDefault="00A0011A" w:rsidP="00E75031">
      <w:pPr>
        <w:pStyle w:val="Prrafodelista"/>
        <w:numPr>
          <w:ilvl w:val="0"/>
          <w:numId w:val="1"/>
        </w:numPr>
        <w:jc w:val="both"/>
        <w:rPr>
          <w:b/>
          <w:i/>
          <w:sz w:val="32"/>
          <w:lang w:val="es-DO"/>
        </w:rPr>
      </w:pPr>
      <w:r w:rsidRPr="00E75031">
        <w:rPr>
          <w:b/>
          <w:i/>
          <w:sz w:val="32"/>
          <w:lang w:val="es-DO"/>
        </w:rPr>
        <w:t>Tiempos de Entrega de la Informacion Solicitada</w:t>
      </w:r>
    </w:p>
    <w:p w:rsidR="00A0011A" w:rsidRDefault="00A0011A" w:rsidP="00A0011A">
      <w:pPr>
        <w:jc w:val="both"/>
        <w:rPr>
          <w:b/>
          <w:i/>
          <w:sz w:val="28"/>
          <w:lang w:val="es-DO"/>
        </w:rPr>
      </w:pPr>
    </w:p>
    <w:p w:rsidR="00A0011A" w:rsidRDefault="00A0011A" w:rsidP="00A0011A">
      <w:pPr>
        <w:jc w:val="both"/>
        <w:rPr>
          <w:i/>
          <w:sz w:val="28"/>
          <w:lang w:val="es-DO"/>
        </w:rPr>
      </w:pPr>
      <w:r>
        <w:rPr>
          <w:i/>
          <w:sz w:val="28"/>
          <w:lang w:val="es-DO"/>
        </w:rPr>
        <w:t xml:space="preserve">Las solicitudes de información pública de esta Dirección General de las Escuelas Vocacionales de las Fuerzas Armadas y de la Policía Nacional (DIGEV), el 100% de las solicitudes fueron respondidas en el plazo de 15 días hábiles según la normativa legal vigente. </w:t>
      </w:r>
    </w:p>
    <w:p w:rsidR="00A0011A" w:rsidRDefault="00A0011A" w:rsidP="00A0011A">
      <w:pPr>
        <w:jc w:val="both"/>
        <w:rPr>
          <w:i/>
          <w:sz w:val="28"/>
          <w:lang w:val="es-DO"/>
        </w:rPr>
      </w:pPr>
    </w:p>
    <w:p w:rsidR="00A0011A" w:rsidRDefault="00A0011A" w:rsidP="00A0011A">
      <w:pPr>
        <w:jc w:val="both"/>
        <w:rPr>
          <w:i/>
          <w:sz w:val="28"/>
          <w:lang w:val="es-DO"/>
        </w:rPr>
      </w:pPr>
    </w:p>
    <w:p w:rsidR="00A0011A" w:rsidRPr="00E75031" w:rsidRDefault="00A0011A" w:rsidP="00E75031">
      <w:pPr>
        <w:pStyle w:val="Prrafodelista"/>
        <w:numPr>
          <w:ilvl w:val="0"/>
          <w:numId w:val="1"/>
        </w:numPr>
        <w:jc w:val="both"/>
        <w:rPr>
          <w:b/>
          <w:i/>
          <w:sz w:val="32"/>
          <w:lang w:val="es-DO"/>
        </w:rPr>
      </w:pPr>
      <w:r w:rsidRPr="00E75031">
        <w:rPr>
          <w:b/>
          <w:i/>
          <w:sz w:val="32"/>
          <w:lang w:val="es-DO"/>
        </w:rPr>
        <w:t>Sistema de Quejas, Reclamos y Sugerencias</w:t>
      </w:r>
    </w:p>
    <w:p w:rsidR="00A0011A" w:rsidRDefault="00A0011A" w:rsidP="00A0011A">
      <w:pPr>
        <w:jc w:val="both"/>
        <w:rPr>
          <w:b/>
          <w:i/>
          <w:sz w:val="28"/>
          <w:lang w:val="es-DO"/>
        </w:rPr>
      </w:pPr>
    </w:p>
    <w:p w:rsidR="00A0011A" w:rsidRDefault="00A0011A" w:rsidP="00A0011A">
      <w:pPr>
        <w:jc w:val="both"/>
        <w:rPr>
          <w:i/>
          <w:sz w:val="28"/>
          <w:lang w:val="es-DO"/>
        </w:rPr>
      </w:pPr>
      <w:r>
        <w:rPr>
          <w:i/>
          <w:sz w:val="28"/>
          <w:lang w:val="es-DO"/>
        </w:rPr>
        <w:t xml:space="preserve">Durante el periodo comprendido de Enero – </w:t>
      </w:r>
      <w:proofErr w:type="gramStart"/>
      <w:r>
        <w:rPr>
          <w:i/>
          <w:sz w:val="28"/>
          <w:lang w:val="es-DO"/>
        </w:rPr>
        <w:t>Diciembre</w:t>
      </w:r>
      <w:proofErr w:type="gramEnd"/>
      <w:r>
        <w:rPr>
          <w:i/>
          <w:sz w:val="28"/>
          <w:lang w:val="es-DO"/>
        </w:rPr>
        <w:t xml:space="preserve"> 2023 a través del Sistema de Quejas, Reclamaciones y Sugerencias </w:t>
      </w:r>
      <w:r w:rsidRPr="00A0011A">
        <w:rPr>
          <w:i/>
          <w:sz w:val="28"/>
          <w:lang w:val="es-DO"/>
        </w:rPr>
        <w:t xml:space="preserve">(Línea 311), </w:t>
      </w:r>
      <w:r>
        <w:rPr>
          <w:i/>
          <w:sz w:val="28"/>
          <w:lang w:val="es-DO"/>
        </w:rPr>
        <w:t xml:space="preserve">no fueron recibidas ninguna incidencia por parte de los ciudadanos en general y/o servidores de la institución. </w:t>
      </w:r>
    </w:p>
    <w:p w:rsidR="00283319" w:rsidRDefault="00283319" w:rsidP="00A0011A">
      <w:pPr>
        <w:jc w:val="both"/>
        <w:rPr>
          <w:i/>
          <w:sz w:val="28"/>
          <w:lang w:val="es-DO"/>
        </w:rPr>
      </w:pPr>
    </w:p>
    <w:p w:rsidR="00A0011A" w:rsidRDefault="00A0011A" w:rsidP="00A0011A">
      <w:pPr>
        <w:jc w:val="both"/>
        <w:rPr>
          <w:i/>
          <w:sz w:val="28"/>
          <w:lang w:val="es-DO"/>
        </w:rPr>
      </w:pPr>
    </w:p>
    <w:p w:rsidR="00A0011A" w:rsidRPr="00E75031" w:rsidRDefault="00283319" w:rsidP="00E75031">
      <w:pPr>
        <w:pStyle w:val="Prrafodelista"/>
        <w:numPr>
          <w:ilvl w:val="0"/>
          <w:numId w:val="1"/>
        </w:numPr>
        <w:jc w:val="both"/>
        <w:rPr>
          <w:b/>
          <w:i/>
          <w:sz w:val="32"/>
          <w:lang w:val="es-DO"/>
        </w:rPr>
      </w:pPr>
      <w:r w:rsidRPr="00E75031">
        <w:rPr>
          <w:b/>
          <w:i/>
          <w:sz w:val="32"/>
          <w:lang w:val="es-DO"/>
        </w:rPr>
        <w:t>Mediciones del Sub-Portal de Transparencia</w:t>
      </w:r>
    </w:p>
    <w:p w:rsidR="00283319" w:rsidRDefault="00283319" w:rsidP="00A0011A">
      <w:pPr>
        <w:jc w:val="both"/>
        <w:rPr>
          <w:b/>
          <w:i/>
          <w:sz w:val="28"/>
          <w:lang w:val="es-DO"/>
        </w:rPr>
      </w:pPr>
    </w:p>
    <w:p w:rsidR="00283319" w:rsidRDefault="00283319" w:rsidP="00A0011A">
      <w:pPr>
        <w:jc w:val="both"/>
        <w:rPr>
          <w:i/>
          <w:sz w:val="28"/>
          <w:lang w:val="es-DO"/>
        </w:rPr>
      </w:pPr>
      <w:r>
        <w:rPr>
          <w:i/>
          <w:sz w:val="28"/>
          <w:lang w:val="es-DO"/>
        </w:rPr>
        <w:t xml:space="preserve">En las evaluaciones realizadas al Sub-Portal de Transparencia institucional por la Dirección General de Ética e Integridad Gubernamental (DIGEIG), se obtuvieron las siguientes valoraciones: </w:t>
      </w:r>
    </w:p>
    <w:p w:rsidR="00283319" w:rsidRDefault="00283319" w:rsidP="00A0011A">
      <w:pPr>
        <w:jc w:val="both"/>
        <w:rPr>
          <w:i/>
          <w:sz w:val="28"/>
          <w:lang w:val="es-DO"/>
        </w:rPr>
      </w:pPr>
    </w:p>
    <w:p w:rsidR="00283319" w:rsidRDefault="00283319" w:rsidP="00A0011A">
      <w:pPr>
        <w:jc w:val="both"/>
        <w:rPr>
          <w:i/>
          <w:sz w:val="28"/>
          <w:lang w:val="es-DO"/>
        </w:rPr>
      </w:pPr>
    </w:p>
    <w:tbl>
      <w:tblPr>
        <w:tblW w:w="2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560"/>
      </w:tblGrid>
      <w:tr w:rsidR="00283319" w:rsidRPr="00283319" w:rsidTr="00934023">
        <w:trPr>
          <w:trHeight w:val="34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b/>
                <w:bCs/>
                <w:i/>
                <w:iCs/>
                <w:color w:val="000000"/>
                <w:sz w:val="26"/>
                <w:szCs w:val="26"/>
                <w:lang w:val="es-DO" w:eastAsia="es-DO"/>
              </w:rPr>
              <w:t>Mes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b/>
                <w:bCs/>
                <w:i/>
                <w:iCs/>
                <w:color w:val="000000"/>
                <w:sz w:val="26"/>
                <w:szCs w:val="26"/>
                <w:lang w:val="es-DO" w:eastAsia="es-DO"/>
              </w:rPr>
              <w:t>Calificación</w:t>
            </w:r>
          </w:p>
        </w:tc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Enero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96.58</w:t>
            </w:r>
          </w:p>
        </w:tc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Febrero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100.00</w:t>
            </w:r>
          </w:p>
        </w:tc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Marzo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97.79</w:t>
            </w:r>
          </w:p>
        </w:tc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Abril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99.78</w:t>
            </w:r>
          </w:p>
        </w:tc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Mayo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98.57</w:t>
            </w:r>
          </w:p>
        </w:tc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Junio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98.90</w:t>
            </w:r>
          </w:p>
        </w:tc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Julio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100.00</w:t>
            </w:r>
          </w:p>
        </w:tc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Agosto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100.00</w:t>
            </w:r>
          </w:p>
        </w:tc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Septiembre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97.45</w:t>
            </w:r>
          </w:p>
        </w:tc>
        <w:bookmarkStart w:id="0" w:name="_GoBack"/>
        <w:bookmarkEnd w:id="0"/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Octubre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98.90</w:t>
            </w:r>
          </w:p>
        </w:tc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Noviembre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97.46</w:t>
            </w:r>
          </w:p>
        </w:tc>
      </w:tr>
      <w:tr w:rsidR="00283319" w:rsidRPr="00283319" w:rsidTr="00283319">
        <w:trPr>
          <w:trHeight w:val="33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283319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Diciembre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19" w:rsidRPr="00283319" w:rsidRDefault="00283319" w:rsidP="000D7D35">
            <w:pPr>
              <w:jc w:val="center"/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</w:pPr>
            <w:r w:rsidRPr="00283319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99.</w:t>
            </w:r>
            <w:r w:rsidR="000D7D35">
              <w:rPr>
                <w:i/>
                <w:iCs/>
                <w:color w:val="000000"/>
                <w:sz w:val="26"/>
                <w:szCs w:val="26"/>
                <w:lang w:val="es-DO" w:eastAsia="es-DO"/>
              </w:rPr>
              <w:t>40</w:t>
            </w:r>
          </w:p>
        </w:tc>
      </w:tr>
    </w:tbl>
    <w:p w:rsidR="00283319" w:rsidRDefault="00283319" w:rsidP="00A0011A">
      <w:pPr>
        <w:jc w:val="both"/>
        <w:rPr>
          <w:i/>
          <w:sz w:val="28"/>
          <w:lang w:val="es-DO"/>
        </w:rPr>
      </w:pPr>
    </w:p>
    <w:p w:rsidR="00283319" w:rsidRDefault="00934023" w:rsidP="00A0011A">
      <w:pPr>
        <w:jc w:val="both"/>
        <w:rPr>
          <w:i/>
          <w:sz w:val="28"/>
          <w:lang w:val="es-DO"/>
        </w:rPr>
      </w:pPr>
      <w:r>
        <w:rPr>
          <w:i/>
          <w:sz w:val="28"/>
          <w:lang w:val="es-DO"/>
        </w:rPr>
        <w:t xml:space="preserve">A continuación, presentamos una gráfica de las valoraciones obtenidas en todo el año 2023: </w:t>
      </w:r>
    </w:p>
    <w:p w:rsidR="00934023" w:rsidRDefault="00934023" w:rsidP="00A0011A">
      <w:pPr>
        <w:jc w:val="both"/>
        <w:rPr>
          <w:i/>
          <w:sz w:val="28"/>
          <w:lang w:val="es-DO"/>
        </w:rPr>
      </w:pPr>
    </w:p>
    <w:p w:rsidR="00283319" w:rsidRDefault="00E75031" w:rsidP="00A0011A">
      <w:pPr>
        <w:jc w:val="both"/>
        <w:rPr>
          <w:i/>
          <w:sz w:val="28"/>
          <w:lang w:val="es-DO"/>
        </w:rPr>
      </w:pPr>
      <w:r>
        <w:rPr>
          <w:i/>
          <w:noProof/>
          <w:sz w:val="28"/>
          <w:lang w:val="es-DO" w:eastAsia="es-DO"/>
        </w:rPr>
        <w:drawing>
          <wp:inline distT="0" distB="0" distL="0" distR="0" wp14:anchorId="613C970E">
            <wp:extent cx="5956300" cy="3328670"/>
            <wp:effectExtent l="0" t="0" r="635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031" w:rsidRDefault="00E75031" w:rsidP="00A0011A">
      <w:pPr>
        <w:jc w:val="both"/>
        <w:rPr>
          <w:i/>
          <w:sz w:val="28"/>
          <w:lang w:val="es-DO"/>
        </w:rPr>
      </w:pPr>
    </w:p>
    <w:p w:rsidR="00E75031" w:rsidRDefault="00E75031" w:rsidP="00A0011A">
      <w:pPr>
        <w:jc w:val="both"/>
        <w:rPr>
          <w:i/>
          <w:sz w:val="28"/>
          <w:lang w:val="es-DO"/>
        </w:rPr>
      </w:pPr>
    </w:p>
    <w:p w:rsidR="00E75031" w:rsidRDefault="00E75031" w:rsidP="00E75031">
      <w:pPr>
        <w:pStyle w:val="Prrafodelista"/>
        <w:numPr>
          <w:ilvl w:val="0"/>
          <w:numId w:val="1"/>
        </w:numPr>
        <w:jc w:val="both"/>
        <w:rPr>
          <w:b/>
          <w:i/>
          <w:sz w:val="32"/>
          <w:lang w:val="es-DO"/>
        </w:rPr>
      </w:pPr>
      <w:r w:rsidRPr="00E75031">
        <w:rPr>
          <w:b/>
          <w:i/>
          <w:sz w:val="32"/>
          <w:lang w:val="es-DO"/>
        </w:rPr>
        <w:t>Actividades de Capacitación en Transparencia y Acceso a la Información</w:t>
      </w:r>
    </w:p>
    <w:p w:rsidR="00E75031" w:rsidRDefault="00E75031" w:rsidP="00E75031">
      <w:pPr>
        <w:jc w:val="both"/>
        <w:rPr>
          <w:b/>
          <w:i/>
          <w:sz w:val="32"/>
          <w:lang w:val="es-DO"/>
        </w:rPr>
      </w:pPr>
    </w:p>
    <w:p w:rsidR="00AC1C30" w:rsidRPr="001B6BAF" w:rsidRDefault="00AC1C30" w:rsidP="00AC1C30">
      <w:pPr>
        <w:pStyle w:val="Prrafodelista"/>
        <w:numPr>
          <w:ilvl w:val="0"/>
          <w:numId w:val="2"/>
        </w:numPr>
        <w:jc w:val="both"/>
        <w:rPr>
          <w:b/>
          <w:i/>
          <w:sz w:val="28"/>
          <w:lang w:val="es-DO"/>
        </w:rPr>
      </w:pPr>
      <w:r w:rsidRPr="001B6BAF">
        <w:rPr>
          <w:b/>
          <w:bCs/>
          <w:i/>
          <w:sz w:val="28"/>
          <w:szCs w:val="26"/>
          <w:lang w:val="es-DO"/>
        </w:rPr>
        <w:t>Entrenamiento del Sistema 311 sobre quejas, sugerencias y reclamaciones</w:t>
      </w:r>
    </w:p>
    <w:p w:rsidR="00AC1C30" w:rsidRDefault="00AC1C30" w:rsidP="00AC1C30">
      <w:pPr>
        <w:pStyle w:val="Prrafodelista"/>
        <w:jc w:val="both"/>
        <w:rPr>
          <w:b/>
          <w:i/>
          <w:sz w:val="28"/>
          <w:lang w:val="es-DO"/>
        </w:rPr>
      </w:pPr>
    </w:p>
    <w:p w:rsidR="00AC1C30" w:rsidRDefault="00AC1C30" w:rsidP="00AC1C30">
      <w:pPr>
        <w:pStyle w:val="Prrafodelista"/>
        <w:jc w:val="both"/>
        <w:rPr>
          <w:bCs/>
          <w:i/>
          <w:sz w:val="28"/>
          <w:szCs w:val="26"/>
          <w:lang w:val="es-DO"/>
        </w:rPr>
      </w:pPr>
      <w:r>
        <w:rPr>
          <w:i/>
          <w:sz w:val="28"/>
          <w:lang w:val="es-DO"/>
        </w:rPr>
        <w:t xml:space="preserve">El </w:t>
      </w:r>
      <w:proofErr w:type="spellStart"/>
      <w:r>
        <w:rPr>
          <w:i/>
          <w:sz w:val="28"/>
          <w:lang w:val="es-DO"/>
        </w:rPr>
        <w:t>dia</w:t>
      </w:r>
      <w:proofErr w:type="spellEnd"/>
      <w:r>
        <w:rPr>
          <w:i/>
          <w:sz w:val="28"/>
          <w:lang w:val="es-DO"/>
        </w:rPr>
        <w:t xml:space="preserve"> 18 de </w:t>
      </w:r>
      <w:proofErr w:type="gramStart"/>
      <w:r>
        <w:rPr>
          <w:i/>
          <w:sz w:val="28"/>
          <w:lang w:val="es-DO"/>
        </w:rPr>
        <w:t>Enero</w:t>
      </w:r>
      <w:proofErr w:type="gramEnd"/>
      <w:r>
        <w:rPr>
          <w:i/>
          <w:sz w:val="28"/>
          <w:lang w:val="es-DO"/>
        </w:rPr>
        <w:t xml:space="preserve">, el Responsable de Acceso a la Informacion (RAI) y el equipo técnico del Departamento de Libre Acceso fueron capacitados por el </w:t>
      </w:r>
      <w:r>
        <w:rPr>
          <w:i/>
          <w:sz w:val="28"/>
          <w:lang w:val="es-DO"/>
        </w:rPr>
        <w:lastRenderedPageBreak/>
        <w:t xml:space="preserve">Ministerio de la Presidencia (MINPRE), en el correcto uso del </w:t>
      </w:r>
      <w:r w:rsidRPr="00AC1C30">
        <w:rPr>
          <w:i/>
          <w:sz w:val="28"/>
          <w:lang w:val="es-DO"/>
        </w:rPr>
        <w:t>“</w:t>
      </w:r>
      <w:r w:rsidRPr="00AC1C30">
        <w:rPr>
          <w:bCs/>
          <w:i/>
          <w:sz w:val="28"/>
          <w:szCs w:val="26"/>
          <w:lang w:val="es-DO"/>
        </w:rPr>
        <w:t>Sistema 311 sobre quejas, sugerencias y reclamaciones</w:t>
      </w:r>
      <w:r>
        <w:rPr>
          <w:bCs/>
          <w:i/>
          <w:sz w:val="28"/>
          <w:szCs w:val="26"/>
          <w:lang w:val="es-DO"/>
        </w:rPr>
        <w:t>”, sus normativas legales vigentes y como atender una incidencia por esta herramienta.</w:t>
      </w:r>
    </w:p>
    <w:p w:rsidR="00AC1C30" w:rsidRDefault="00AC1C30" w:rsidP="00AC1C30">
      <w:pPr>
        <w:pStyle w:val="Prrafodelista"/>
        <w:jc w:val="both"/>
        <w:rPr>
          <w:bCs/>
          <w:i/>
          <w:sz w:val="28"/>
          <w:szCs w:val="26"/>
          <w:lang w:val="es-DO"/>
        </w:rPr>
      </w:pPr>
    </w:p>
    <w:p w:rsidR="00E75031" w:rsidRPr="001B6BAF" w:rsidRDefault="001B6BAF" w:rsidP="001B6BAF">
      <w:pPr>
        <w:pStyle w:val="Prrafodelista"/>
        <w:numPr>
          <w:ilvl w:val="0"/>
          <w:numId w:val="2"/>
        </w:numPr>
        <w:jc w:val="both"/>
        <w:rPr>
          <w:b/>
          <w:i/>
          <w:sz w:val="28"/>
          <w:lang w:val="es-DO"/>
        </w:rPr>
      </w:pPr>
      <w:r w:rsidRPr="001B6BAF">
        <w:rPr>
          <w:b/>
          <w:i/>
          <w:sz w:val="28"/>
          <w:lang w:val="es-DO"/>
        </w:rPr>
        <w:t>Lanzamiento del V Plan de Acción ante la Alianza para el Gobierno Abierto</w:t>
      </w:r>
    </w:p>
    <w:p w:rsidR="001B6BAF" w:rsidRDefault="001B6BAF" w:rsidP="00E75031">
      <w:pPr>
        <w:jc w:val="both"/>
        <w:rPr>
          <w:b/>
          <w:i/>
          <w:sz w:val="28"/>
          <w:lang w:val="es-DO"/>
        </w:rPr>
      </w:pPr>
    </w:p>
    <w:p w:rsidR="001B6BAF" w:rsidRDefault="001B6BAF" w:rsidP="001B6BAF">
      <w:pPr>
        <w:pStyle w:val="Prrafodelista"/>
        <w:jc w:val="both"/>
        <w:rPr>
          <w:bCs/>
          <w:i/>
          <w:sz w:val="28"/>
          <w:szCs w:val="26"/>
          <w:lang w:val="es-DO"/>
        </w:rPr>
      </w:pPr>
      <w:r w:rsidRPr="001B6BAF">
        <w:rPr>
          <w:i/>
          <w:sz w:val="28"/>
          <w:lang w:val="es-DO"/>
        </w:rPr>
        <w:t xml:space="preserve">El día 19 de </w:t>
      </w:r>
      <w:proofErr w:type="gramStart"/>
      <w:r w:rsidRPr="001B6BAF">
        <w:rPr>
          <w:i/>
          <w:sz w:val="28"/>
          <w:lang w:val="es-DO"/>
        </w:rPr>
        <w:t>Enero</w:t>
      </w:r>
      <w:proofErr w:type="gramEnd"/>
      <w:r w:rsidRPr="001B6BAF">
        <w:rPr>
          <w:i/>
          <w:sz w:val="28"/>
          <w:lang w:val="es-DO"/>
        </w:rPr>
        <w:t xml:space="preserve">, fuimos invitados a participar en la presentación </w:t>
      </w:r>
      <w:r w:rsidRPr="001B6BAF">
        <w:rPr>
          <w:bCs/>
          <w:i/>
          <w:sz w:val="28"/>
          <w:szCs w:val="26"/>
          <w:lang w:val="es-DO"/>
        </w:rPr>
        <w:t xml:space="preserve">del “V Plan de Acción ante la Alianza para el Gobierno Abierto” de la Dirección General de Ética e Integridad Gubernamental, el cual tiene como objetivo el diseño, desarrollo, implementación y seguimiento del Plan Nacional de Acción para la Apertura de Datos Públicos en formatos abiertos. </w:t>
      </w:r>
    </w:p>
    <w:p w:rsidR="00AC1C30" w:rsidRDefault="00AC1C30" w:rsidP="00AC1C30">
      <w:pPr>
        <w:jc w:val="both"/>
        <w:rPr>
          <w:bCs/>
          <w:i/>
          <w:sz w:val="28"/>
          <w:szCs w:val="26"/>
          <w:lang w:val="es-DO"/>
        </w:rPr>
      </w:pPr>
    </w:p>
    <w:p w:rsidR="00AC1C30" w:rsidRPr="00AC1C30" w:rsidRDefault="00AC1C30" w:rsidP="00AC1C30">
      <w:pPr>
        <w:pStyle w:val="Prrafodelista"/>
        <w:numPr>
          <w:ilvl w:val="0"/>
          <w:numId w:val="2"/>
        </w:numPr>
        <w:jc w:val="both"/>
        <w:rPr>
          <w:b/>
          <w:bCs/>
          <w:i/>
          <w:sz w:val="28"/>
          <w:szCs w:val="26"/>
          <w:lang w:val="es-DO"/>
        </w:rPr>
      </w:pPr>
      <w:r w:rsidRPr="00AC1C30">
        <w:rPr>
          <w:b/>
          <w:bCs/>
          <w:i/>
          <w:sz w:val="28"/>
          <w:szCs w:val="26"/>
          <w:lang w:val="es-DO"/>
        </w:rPr>
        <w:t>Acto de presentación de las políticas de Compras Verdes</w:t>
      </w:r>
    </w:p>
    <w:p w:rsidR="00AC1C30" w:rsidRDefault="00AC1C30" w:rsidP="001B6BAF">
      <w:pPr>
        <w:pStyle w:val="Prrafodelista"/>
        <w:jc w:val="both"/>
        <w:rPr>
          <w:b/>
          <w:i/>
          <w:sz w:val="28"/>
          <w:lang w:val="es-DO"/>
        </w:rPr>
      </w:pPr>
    </w:p>
    <w:p w:rsidR="00AC1C30" w:rsidRDefault="00AC1C30" w:rsidP="001B6BAF">
      <w:pPr>
        <w:pStyle w:val="Prrafodelista"/>
        <w:jc w:val="both"/>
        <w:rPr>
          <w:i/>
          <w:sz w:val="28"/>
          <w:szCs w:val="26"/>
          <w:lang w:val="es-DO"/>
        </w:rPr>
      </w:pPr>
      <w:r>
        <w:rPr>
          <w:i/>
          <w:sz w:val="28"/>
          <w:lang w:val="es-DO"/>
        </w:rPr>
        <w:t xml:space="preserve">El </w:t>
      </w:r>
      <w:r w:rsidR="001D2EAA">
        <w:rPr>
          <w:i/>
          <w:sz w:val="28"/>
          <w:lang w:val="es-DO"/>
        </w:rPr>
        <w:t>día</w:t>
      </w:r>
      <w:r>
        <w:rPr>
          <w:i/>
          <w:sz w:val="28"/>
          <w:lang w:val="es-DO"/>
        </w:rPr>
        <w:t xml:space="preserve"> 22 de </w:t>
      </w:r>
      <w:proofErr w:type="gramStart"/>
      <w:r>
        <w:rPr>
          <w:i/>
          <w:sz w:val="28"/>
          <w:lang w:val="es-DO"/>
        </w:rPr>
        <w:t>Febrero</w:t>
      </w:r>
      <w:proofErr w:type="gramEnd"/>
      <w:r>
        <w:rPr>
          <w:i/>
          <w:sz w:val="28"/>
          <w:lang w:val="es-DO"/>
        </w:rPr>
        <w:t xml:space="preserve">, fuimos invitados a participar al </w:t>
      </w:r>
      <w:r w:rsidRPr="00AC1C30">
        <w:rPr>
          <w:i/>
          <w:sz w:val="28"/>
          <w:lang w:val="es-DO"/>
        </w:rPr>
        <w:t>“</w:t>
      </w:r>
      <w:r w:rsidRPr="00455DA9">
        <w:rPr>
          <w:bCs/>
          <w:i/>
          <w:sz w:val="28"/>
          <w:szCs w:val="26"/>
          <w:lang w:val="es-DO"/>
        </w:rPr>
        <w:t>Acto de presentación de las políticas de Compras Verdes</w:t>
      </w:r>
      <w:r>
        <w:rPr>
          <w:bCs/>
          <w:i/>
          <w:sz w:val="28"/>
          <w:szCs w:val="26"/>
          <w:lang w:val="es-DO"/>
        </w:rPr>
        <w:t xml:space="preserve">” por la </w:t>
      </w:r>
      <w:r w:rsidRPr="00455DA9">
        <w:rPr>
          <w:i/>
          <w:sz w:val="28"/>
          <w:szCs w:val="26"/>
          <w:lang w:val="es-DO"/>
        </w:rPr>
        <w:t>Dirección General de Contrataciones Pública (DGCP) y el Ministerio de Medio Ambiente y Recursos Naturales en coordinación con la Dirección General de Ética e Integridad Gubernamental (DIGEIG)</w:t>
      </w:r>
      <w:r w:rsidR="001D2EAA">
        <w:rPr>
          <w:i/>
          <w:sz w:val="28"/>
          <w:szCs w:val="26"/>
          <w:lang w:val="es-DO"/>
        </w:rPr>
        <w:t>, cuya finalidad es de instaurar mejores prácticas de consumo en las instituciones públicas.</w:t>
      </w:r>
    </w:p>
    <w:p w:rsidR="001D2EAA" w:rsidRDefault="001D2EAA" w:rsidP="001D2EAA">
      <w:pPr>
        <w:jc w:val="both"/>
        <w:rPr>
          <w:i/>
          <w:sz w:val="28"/>
          <w:lang w:val="es-DO"/>
        </w:rPr>
      </w:pPr>
    </w:p>
    <w:p w:rsidR="001D2EAA" w:rsidRPr="001D2EAA" w:rsidRDefault="001D2EAA" w:rsidP="001D2EAA">
      <w:pPr>
        <w:pStyle w:val="Prrafodelista"/>
        <w:numPr>
          <w:ilvl w:val="0"/>
          <w:numId w:val="2"/>
        </w:numPr>
        <w:jc w:val="both"/>
        <w:rPr>
          <w:b/>
          <w:i/>
          <w:sz w:val="28"/>
          <w:lang w:val="es-DO"/>
        </w:rPr>
      </w:pPr>
      <w:r w:rsidRPr="001D2EAA">
        <w:rPr>
          <w:b/>
          <w:bCs/>
          <w:i/>
          <w:sz w:val="28"/>
          <w:szCs w:val="26"/>
          <w:lang w:val="es-DO"/>
        </w:rPr>
        <w:t>Celebración del Día Internacional de Datos Abiertos</w:t>
      </w:r>
    </w:p>
    <w:p w:rsidR="001D2EAA" w:rsidRDefault="001D2EAA" w:rsidP="001D2EAA">
      <w:pPr>
        <w:pStyle w:val="Prrafodelista"/>
        <w:jc w:val="both"/>
        <w:rPr>
          <w:b/>
          <w:bCs/>
          <w:i/>
          <w:sz w:val="28"/>
          <w:szCs w:val="26"/>
          <w:lang w:val="es-DO"/>
        </w:rPr>
      </w:pPr>
    </w:p>
    <w:p w:rsidR="001D2EAA" w:rsidRDefault="001D2EAA" w:rsidP="001D2EAA">
      <w:pPr>
        <w:pStyle w:val="Prrafodelista"/>
        <w:jc w:val="both"/>
        <w:rPr>
          <w:i/>
          <w:sz w:val="28"/>
          <w:szCs w:val="26"/>
          <w:lang w:val="es-DO"/>
        </w:rPr>
      </w:pPr>
      <w:r>
        <w:rPr>
          <w:bCs/>
          <w:i/>
          <w:sz w:val="28"/>
          <w:szCs w:val="26"/>
          <w:lang w:val="es-DO"/>
        </w:rPr>
        <w:t xml:space="preserve">El día 9 de </w:t>
      </w:r>
      <w:proofErr w:type="gramStart"/>
      <w:r>
        <w:rPr>
          <w:bCs/>
          <w:i/>
          <w:sz w:val="28"/>
          <w:szCs w:val="26"/>
          <w:lang w:val="es-DO"/>
        </w:rPr>
        <w:t>Marzo</w:t>
      </w:r>
      <w:proofErr w:type="gramEnd"/>
      <w:r>
        <w:rPr>
          <w:bCs/>
          <w:i/>
          <w:sz w:val="28"/>
          <w:szCs w:val="26"/>
          <w:lang w:val="es-DO"/>
        </w:rPr>
        <w:t>, fuimos invitados a la “</w:t>
      </w:r>
      <w:r w:rsidRPr="00455DA9">
        <w:rPr>
          <w:bCs/>
          <w:i/>
          <w:sz w:val="28"/>
          <w:szCs w:val="26"/>
          <w:lang w:val="es-DO"/>
        </w:rPr>
        <w:t>Celebración del Día Internacional de Datos Abiertos</w:t>
      </w:r>
      <w:r>
        <w:rPr>
          <w:bCs/>
          <w:i/>
          <w:sz w:val="28"/>
          <w:szCs w:val="26"/>
          <w:lang w:val="es-DO"/>
        </w:rPr>
        <w:t xml:space="preserve">” y “Premiación del 4to Concurso Nacional de Periodismo de Datos” por la </w:t>
      </w:r>
      <w:r w:rsidRPr="00455DA9">
        <w:rPr>
          <w:i/>
          <w:sz w:val="28"/>
          <w:szCs w:val="26"/>
          <w:lang w:val="es-DO"/>
        </w:rPr>
        <w:t>Dirección General de Ética e Integridad Gubernamental (DIGEIG)</w:t>
      </w:r>
      <w:r>
        <w:rPr>
          <w:i/>
          <w:sz w:val="28"/>
          <w:szCs w:val="26"/>
          <w:lang w:val="es-DO"/>
        </w:rPr>
        <w:t>, en la cual se presentó el plan de datos priorizados para el Primer Plan de Acción para la Apertura de Datos Abiertos de la Republica Dominicana</w:t>
      </w:r>
      <w:r w:rsidR="000777FC">
        <w:rPr>
          <w:i/>
          <w:sz w:val="28"/>
          <w:szCs w:val="26"/>
          <w:lang w:val="es-DO"/>
        </w:rPr>
        <w:t>, que tiene como finalidad aumentar la disponibilidad y captura de datos útiles estandarizados.</w:t>
      </w:r>
    </w:p>
    <w:p w:rsidR="000777FC" w:rsidRDefault="000777FC" w:rsidP="000777FC">
      <w:pPr>
        <w:jc w:val="both"/>
        <w:rPr>
          <w:i/>
          <w:sz w:val="28"/>
          <w:lang w:val="es-DO"/>
        </w:rPr>
      </w:pPr>
    </w:p>
    <w:p w:rsidR="000777FC" w:rsidRPr="000777FC" w:rsidRDefault="000777FC" w:rsidP="000777FC">
      <w:pPr>
        <w:pStyle w:val="Prrafodelista"/>
        <w:numPr>
          <w:ilvl w:val="0"/>
          <w:numId w:val="2"/>
        </w:numPr>
        <w:jc w:val="both"/>
        <w:rPr>
          <w:b/>
          <w:i/>
          <w:sz w:val="28"/>
          <w:lang w:val="es-DO"/>
        </w:rPr>
      </w:pPr>
      <w:r w:rsidRPr="000777FC">
        <w:rPr>
          <w:b/>
          <w:bCs/>
          <w:i/>
          <w:sz w:val="28"/>
          <w:szCs w:val="26"/>
          <w:lang w:val="es-DO"/>
        </w:rPr>
        <w:t>Sensibilización de la Ley 200-04 y Herramientas Vinculantes</w:t>
      </w:r>
    </w:p>
    <w:p w:rsidR="000777FC" w:rsidRDefault="000777FC" w:rsidP="000777FC">
      <w:pPr>
        <w:pStyle w:val="Prrafodelista"/>
        <w:jc w:val="both"/>
        <w:rPr>
          <w:b/>
          <w:bCs/>
          <w:i/>
          <w:sz w:val="28"/>
          <w:szCs w:val="26"/>
          <w:lang w:val="es-DO"/>
        </w:rPr>
      </w:pPr>
    </w:p>
    <w:p w:rsidR="000777FC" w:rsidRDefault="000777FC" w:rsidP="000777FC">
      <w:pPr>
        <w:pStyle w:val="Prrafodelista"/>
        <w:jc w:val="both"/>
        <w:rPr>
          <w:bCs/>
          <w:i/>
          <w:sz w:val="28"/>
          <w:szCs w:val="26"/>
          <w:lang w:val="es-DO"/>
        </w:rPr>
      </w:pPr>
      <w:r>
        <w:rPr>
          <w:bCs/>
          <w:i/>
          <w:sz w:val="28"/>
          <w:szCs w:val="26"/>
          <w:lang w:val="es-DO"/>
        </w:rPr>
        <w:t>El día 4 de Julio, fuimos invitados a participar en la “</w:t>
      </w:r>
      <w:r w:rsidRPr="00455DA9">
        <w:rPr>
          <w:bCs/>
          <w:i/>
          <w:sz w:val="28"/>
          <w:szCs w:val="26"/>
          <w:lang w:val="es-DO"/>
        </w:rPr>
        <w:t>Sensibilización de la Ley 200-04 y Herramientas Vinculantes</w:t>
      </w:r>
      <w:r>
        <w:rPr>
          <w:bCs/>
          <w:i/>
          <w:sz w:val="28"/>
          <w:szCs w:val="26"/>
          <w:lang w:val="es-DO"/>
        </w:rPr>
        <w:t xml:space="preserve">” de la </w:t>
      </w:r>
      <w:r>
        <w:rPr>
          <w:i/>
          <w:sz w:val="28"/>
          <w:szCs w:val="26"/>
          <w:lang w:val="es-DO"/>
        </w:rPr>
        <w:t>Dirección General de Ética e Integridad Gubernamental (DIGEIG), en la cual nos capacitamos sobre</w:t>
      </w:r>
      <w:r w:rsidR="001555FE">
        <w:rPr>
          <w:i/>
          <w:sz w:val="28"/>
          <w:szCs w:val="26"/>
          <w:lang w:val="es-DO"/>
        </w:rPr>
        <w:t xml:space="preserve"> la Ley General 200-04 de Libre Acceso a la Informacion Publica, la Resolución 002-2021 que Crea el Portal Único de Transparencia y Establece las Políticas de Estandarización de las Divisiones de </w:t>
      </w:r>
      <w:proofErr w:type="spellStart"/>
      <w:r w:rsidR="001555FE">
        <w:rPr>
          <w:i/>
          <w:sz w:val="28"/>
          <w:szCs w:val="26"/>
          <w:lang w:val="es-DO"/>
        </w:rPr>
        <w:t>Transparecia</w:t>
      </w:r>
      <w:proofErr w:type="spellEnd"/>
      <w:r w:rsidR="001555FE">
        <w:rPr>
          <w:i/>
          <w:sz w:val="28"/>
          <w:szCs w:val="26"/>
          <w:lang w:val="es-DO"/>
        </w:rPr>
        <w:t>,</w:t>
      </w:r>
      <w:r>
        <w:rPr>
          <w:i/>
          <w:sz w:val="28"/>
          <w:szCs w:val="26"/>
          <w:lang w:val="es-DO"/>
        </w:rPr>
        <w:t xml:space="preserve"> el uso y manejo del </w:t>
      </w:r>
      <w:r w:rsidR="001555FE">
        <w:rPr>
          <w:i/>
          <w:sz w:val="28"/>
          <w:lang w:val="es-DO"/>
        </w:rPr>
        <w:t xml:space="preserve">Portal Único de Solicitud de Acceso a la Información Pública (SAIP) y el </w:t>
      </w:r>
      <w:r w:rsidR="001555FE">
        <w:rPr>
          <w:bCs/>
          <w:i/>
          <w:sz w:val="28"/>
          <w:szCs w:val="26"/>
          <w:lang w:val="es-DO"/>
        </w:rPr>
        <w:t>Sistema 311 sobre quejas, sugerencias y reclamaciones.</w:t>
      </w:r>
    </w:p>
    <w:p w:rsidR="001555FE" w:rsidRDefault="001555FE" w:rsidP="000777FC">
      <w:pPr>
        <w:pStyle w:val="Prrafodelista"/>
        <w:jc w:val="both"/>
        <w:rPr>
          <w:bCs/>
          <w:i/>
          <w:sz w:val="28"/>
          <w:szCs w:val="26"/>
          <w:lang w:val="es-DO"/>
        </w:rPr>
      </w:pPr>
    </w:p>
    <w:p w:rsidR="001555FE" w:rsidRDefault="001555FE" w:rsidP="000777FC">
      <w:pPr>
        <w:pStyle w:val="Prrafodelista"/>
        <w:jc w:val="both"/>
        <w:rPr>
          <w:bCs/>
          <w:i/>
          <w:sz w:val="28"/>
          <w:szCs w:val="26"/>
          <w:lang w:val="es-DO"/>
        </w:rPr>
      </w:pPr>
    </w:p>
    <w:p w:rsidR="001555FE" w:rsidRDefault="001555FE" w:rsidP="000777FC">
      <w:pPr>
        <w:pStyle w:val="Prrafodelista"/>
        <w:jc w:val="both"/>
        <w:rPr>
          <w:bCs/>
          <w:i/>
          <w:sz w:val="28"/>
          <w:szCs w:val="26"/>
          <w:lang w:val="es-DO"/>
        </w:rPr>
      </w:pPr>
    </w:p>
    <w:p w:rsidR="001555FE" w:rsidRDefault="001555FE" w:rsidP="001555FE">
      <w:pPr>
        <w:jc w:val="both"/>
        <w:rPr>
          <w:i/>
          <w:sz w:val="28"/>
          <w:lang w:val="es-DO"/>
        </w:rPr>
      </w:pPr>
    </w:p>
    <w:p w:rsidR="001555FE" w:rsidRDefault="001555FE" w:rsidP="001555FE">
      <w:pPr>
        <w:pStyle w:val="Prrafodelista"/>
        <w:numPr>
          <w:ilvl w:val="0"/>
          <w:numId w:val="2"/>
        </w:numPr>
        <w:jc w:val="both"/>
        <w:rPr>
          <w:b/>
          <w:i/>
          <w:sz w:val="28"/>
          <w:lang w:val="es-DO"/>
        </w:rPr>
      </w:pPr>
      <w:r w:rsidRPr="001555FE">
        <w:rPr>
          <w:b/>
          <w:i/>
          <w:sz w:val="28"/>
          <w:lang w:val="es-DO"/>
        </w:rPr>
        <w:t>Semana del Derecho a Saber 2023</w:t>
      </w:r>
    </w:p>
    <w:p w:rsidR="001555FE" w:rsidRDefault="001555FE" w:rsidP="001555FE">
      <w:pPr>
        <w:pStyle w:val="Prrafodelista"/>
        <w:jc w:val="both"/>
        <w:rPr>
          <w:b/>
          <w:i/>
          <w:sz w:val="28"/>
          <w:lang w:val="es-DO"/>
        </w:rPr>
      </w:pPr>
    </w:p>
    <w:p w:rsidR="001555FE" w:rsidRDefault="004B7FA2" w:rsidP="001555FE">
      <w:pPr>
        <w:pStyle w:val="Prrafodelista"/>
        <w:jc w:val="both"/>
        <w:rPr>
          <w:i/>
          <w:sz w:val="28"/>
          <w:szCs w:val="26"/>
          <w:lang w:val="es-DO"/>
        </w:rPr>
      </w:pPr>
      <w:r>
        <w:rPr>
          <w:i/>
          <w:sz w:val="28"/>
          <w:lang w:val="es-DO"/>
        </w:rPr>
        <w:t>F</w:t>
      </w:r>
      <w:r w:rsidR="001555FE">
        <w:rPr>
          <w:i/>
          <w:sz w:val="28"/>
          <w:lang w:val="es-DO"/>
        </w:rPr>
        <w:t xml:space="preserve">uimos invitados a participar de la “Semana del Derecho a Saber 2023” </w:t>
      </w:r>
      <w:r>
        <w:rPr>
          <w:i/>
          <w:sz w:val="28"/>
          <w:lang w:val="es-DO"/>
        </w:rPr>
        <w:t xml:space="preserve">la cual se celebró desde el día 25 al 29 de </w:t>
      </w:r>
      <w:proofErr w:type="gramStart"/>
      <w:r>
        <w:rPr>
          <w:i/>
          <w:sz w:val="28"/>
          <w:lang w:val="es-DO"/>
        </w:rPr>
        <w:t>Septiembre</w:t>
      </w:r>
      <w:proofErr w:type="gramEnd"/>
      <w:r>
        <w:rPr>
          <w:i/>
          <w:sz w:val="28"/>
          <w:lang w:val="es-DO"/>
        </w:rPr>
        <w:t xml:space="preserve"> </w:t>
      </w:r>
      <w:r w:rsidR="001555FE">
        <w:rPr>
          <w:i/>
          <w:sz w:val="28"/>
          <w:lang w:val="es-DO"/>
        </w:rPr>
        <w:t xml:space="preserve">por la </w:t>
      </w:r>
      <w:r w:rsidR="001555FE">
        <w:rPr>
          <w:i/>
          <w:sz w:val="28"/>
          <w:szCs w:val="26"/>
          <w:lang w:val="es-DO"/>
        </w:rPr>
        <w:t>Dirección General de Ética e Integridad Gubernamental (DIGEIG</w:t>
      </w:r>
      <w:r>
        <w:rPr>
          <w:i/>
          <w:sz w:val="28"/>
          <w:szCs w:val="26"/>
          <w:lang w:val="es-DO"/>
        </w:rPr>
        <w:t>), en</w:t>
      </w:r>
      <w:r w:rsidR="001555FE">
        <w:rPr>
          <w:i/>
          <w:sz w:val="28"/>
          <w:szCs w:val="26"/>
          <w:lang w:val="es-DO"/>
        </w:rPr>
        <w:t xml:space="preserve"> la cual se sostuvieron diversas actividades de sensibilización, capacitación y difusión sobre Acceso a la Información Pública y la Transparencia en la Gestión Pública. En esta semana nos capacitamos en diversos temas como son: “Buenas Practicas – Portales de Transparencia”, “Informacion en Formatos Abiertos”</w:t>
      </w:r>
      <w:r w:rsidR="006239A0">
        <w:rPr>
          <w:i/>
          <w:sz w:val="28"/>
          <w:szCs w:val="26"/>
          <w:lang w:val="es-DO"/>
        </w:rPr>
        <w:t xml:space="preserve"> y</w:t>
      </w:r>
      <w:r w:rsidR="001555FE">
        <w:rPr>
          <w:i/>
          <w:sz w:val="28"/>
          <w:szCs w:val="26"/>
          <w:lang w:val="es-DO"/>
        </w:rPr>
        <w:t xml:space="preserve"> “Transparencia Algorítmica”</w:t>
      </w:r>
      <w:r w:rsidR="006239A0">
        <w:rPr>
          <w:i/>
          <w:sz w:val="28"/>
          <w:szCs w:val="26"/>
          <w:lang w:val="es-DO"/>
        </w:rPr>
        <w:t>. Finalmente concluyendo la semana con el Primer Rally por la Transparencia y la Integridad.</w:t>
      </w:r>
    </w:p>
    <w:p w:rsidR="006239A0" w:rsidRDefault="006239A0" w:rsidP="006239A0">
      <w:pPr>
        <w:jc w:val="both"/>
        <w:rPr>
          <w:i/>
          <w:sz w:val="28"/>
          <w:lang w:val="es-DO"/>
        </w:rPr>
      </w:pPr>
    </w:p>
    <w:p w:rsidR="001D2EAA" w:rsidRDefault="006239A0" w:rsidP="00965E5E">
      <w:pPr>
        <w:pStyle w:val="Prrafodelista"/>
        <w:numPr>
          <w:ilvl w:val="0"/>
          <w:numId w:val="2"/>
        </w:numPr>
        <w:jc w:val="both"/>
        <w:rPr>
          <w:b/>
          <w:i/>
          <w:sz w:val="28"/>
          <w:lang w:val="es-DO"/>
        </w:rPr>
      </w:pPr>
      <w:r w:rsidRPr="006239A0">
        <w:rPr>
          <w:b/>
          <w:i/>
          <w:sz w:val="28"/>
          <w:lang w:val="es-DO"/>
        </w:rPr>
        <w:t xml:space="preserve">Taller Ley General No. 200-04 de Libre Acceso a la Informacion Pública </w:t>
      </w:r>
    </w:p>
    <w:p w:rsidR="006239A0" w:rsidRDefault="006239A0" w:rsidP="006239A0">
      <w:pPr>
        <w:pStyle w:val="Prrafodelista"/>
        <w:jc w:val="both"/>
        <w:rPr>
          <w:b/>
          <w:i/>
          <w:sz w:val="28"/>
          <w:lang w:val="es-DO"/>
        </w:rPr>
      </w:pPr>
    </w:p>
    <w:p w:rsidR="006239A0" w:rsidRPr="006239A0" w:rsidRDefault="004B7FA2" w:rsidP="006239A0">
      <w:pPr>
        <w:pStyle w:val="Prrafodelista"/>
        <w:jc w:val="both"/>
        <w:rPr>
          <w:i/>
          <w:sz w:val="28"/>
          <w:lang w:val="es-DO"/>
        </w:rPr>
      </w:pPr>
      <w:r>
        <w:rPr>
          <w:i/>
          <w:sz w:val="28"/>
          <w:lang w:val="es-DO"/>
        </w:rPr>
        <w:t>R</w:t>
      </w:r>
      <w:r w:rsidR="006239A0">
        <w:rPr>
          <w:i/>
          <w:sz w:val="28"/>
          <w:lang w:val="es-DO"/>
        </w:rPr>
        <w:t xml:space="preserve">ealizamos en coordinación con la </w:t>
      </w:r>
      <w:r w:rsidR="006239A0">
        <w:rPr>
          <w:i/>
          <w:sz w:val="28"/>
          <w:szCs w:val="26"/>
          <w:lang w:val="es-DO"/>
        </w:rPr>
        <w:t xml:space="preserve">Dirección General de Ética e Integridad Gubernamental (DIGEIG), </w:t>
      </w:r>
      <w:r>
        <w:rPr>
          <w:i/>
          <w:sz w:val="28"/>
          <w:szCs w:val="26"/>
          <w:lang w:val="es-DO"/>
        </w:rPr>
        <w:t>e</w:t>
      </w:r>
      <w:r>
        <w:rPr>
          <w:i/>
          <w:sz w:val="28"/>
          <w:lang w:val="es-DO"/>
        </w:rPr>
        <w:t>l día 15 de Noviembre</w:t>
      </w:r>
      <w:r>
        <w:rPr>
          <w:i/>
          <w:sz w:val="28"/>
          <w:szCs w:val="26"/>
          <w:lang w:val="es-DO"/>
        </w:rPr>
        <w:t xml:space="preserve"> </w:t>
      </w:r>
      <w:r w:rsidR="006239A0">
        <w:rPr>
          <w:i/>
          <w:sz w:val="28"/>
          <w:szCs w:val="26"/>
          <w:lang w:val="es-DO"/>
        </w:rPr>
        <w:t xml:space="preserve">el </w:t>
      </w:r>
      <w:r w:rsidR="006239A0">
        <w:rPr>
          <w:bCs/>
          <w:i/>
          <w:sz w:val="28"/>
          <w:szCs w:val="26"/>
          <w:lang w:val="es-DO"/>
        </w:rPr>
        <w:t>taller sobre la “Ley General No. 200-04 de Libre Acceso a la Informacion Pública y estandarización de los Portales de Transparencia”, la cual tenía como finalidad capacitar a los Directores, Sub-Directores, Encargado Departamentales y técnicos de las diferentes áreas de esta institución, sobre la Ley General 200-04, Transparencia Gubernamental y la importancia de los Sub-Portales de Transparencia en las instituciones del Estado Dominicano.</w:t>
      </w:r>
    </w:p>
    <w:p w:rsidR="001D2EAA" w:rsidRDefault="001D2EAA" w:rsidP="001D2EAA">
      <w:pPr>
        <w:jc w:val="both"/>
        <w:rPr>
          <w:b/>
          <w:i/>
          <w:sz w:val="28"/>
          <w:lang w:val="es-DO"/>
        </w:rPr>
      </w:pPr>
    </w:p>
    <w:p w:rsidR="001D2EAA" w:rsidRDefault="001D2EAA" w:rsidP="001D2EAA">
      <w:pPr>
        <w:jc w:val="both"/>
        <w:rPr>
          <w:b/>
          <w:i/>
          <w:sz w:val="28"/>
          <w:lang w:val="es-DO"/>
        </w:rPr>
      </w:pPr>
    </w:p>
    <w:p w:rsidR="001D2EAA" w:rsidRDefault="001D2EAA" w:rsidP="001D2EAA">
      <w:pPr>
        <w:jc w:val="both"/>
        <w:rPr>
          <w:b/>
          <w:i/>
          <w:sz w:val="28"/>
          <w:lang w:val="es-DO"/>
        </w:rPr>
      </w:pPr>
    </w:p>
    <w:p w:rsidR="006239A0" w:rsidRDefault="006239A0" w:rsidP="001D2EAA">
      <w:pPr>
        <w:jc w:val="both"/>
        <w:rPr>
          <w:b/>
          <w:i/>
          <w:sz w:val="28"/>
          <w:lang w:val="es-DO"/>
        </w:rPr>
      </w:pPr>
    </w:p>
    <w:p w:rsidR="006239A0" w:rsidRDefault="006239A0" w:rsidP="006239A0">
      <w:pPr>
        <w:pStyle w:val="Ttulo1"/>
        <w:jc w:val="center"/>
        <w:rPr>
          <w:i/>
          <w:sz w:val="32"/>
          <w:szCs w:val="32"/>
        </w:rPr>
      </w:pPr>
      <w:r>
        <w:rPr>
          <w:i/>
          <w:sz w:val="30"/>
          <w:szCs w:val="30"/>
        </w:rPr>
        <w:t>ANGEL E. ROMAN PEGUERO</w:t>
      </w:r>
      <w:r>
        <w:rPr>
          <w:i/>
          <w:sz w:val="32"/>
          <w:szCs w:val="32"/>
        </w:rPr>
        <w:t>,</w:t>
      </w:r>
    </w:p>
    <w:p w:rsidR="004B7FA2" w:rsidRDefault="004B7FA2" w:rsidP="004B7FA2">
      <w:pPr>
        <w:pStyle w:val="Ttulo1"/>
        <w:jc w:val="center"/>
        <w:rPr>
          <w:b w:val="0"/>
          <w:i/>
          <w:sz w:val="27"/>
          <w:szCs w:val="27"/>
        </w:rPr>
      </w:pPr>
      <w:r>
        <w:rPr>
          <w:b w:val="0"/>
          <w:i/>
          <w:sz w:val="27"/>
          <w:szCs w:val="27"/>
        </w:rPr>
        <w:t>Asimilado Militar, MIDE.</w:t>
      </w:r>
    </w:p>
    <w:p w:rsidR="004B7FA2" w:rsidRPr="004B7FA2" w:rsidRDefault="004B7FA2" w:rsidP="004B7FA2">
      <w:pPr>
        <w:jc w:val="center"/>
        <w:rPr>
          <w:i/>
          <w:sz w:val="27"/>
          <w:szCs w:val="27"/>
        </w:rPr>
      </w:pPr>
      <w:r w:rsidRPr="004B7FA2">
        <w:rPr>
          <w:i/>
          <w:sz w:val="27"/>
          <w:szCs w:val="27"/>
        </w:rPr>
        <w:t>Encargado del Departamento de Libre Acceso a la Información</w:t>
      </w:r>
    </w:p>
    <w:p w:rsidR="004B7FA2" w:rsidRDefault="004B7FA2" w:rsidP="004B7FA2">
      <w:pPr>
        <w:jc w:val="center"/>
        <w:rPr>
          <w:bCs/>
          <w:i/>
          <w:sz w:val="27"/>
          <w:szCs w:val="27"/>
        </w:rPr>
      </w:pPr>
    </w:p>
    <w:p w:rsidR="004B7FA2" w:rsidRPr="004B7FA2" w:rsidRDefault="004B7FA2" w:rsidP="004B7FA2">
      <w:pPr>
        <w:rPr>
          <w:b/>
          <w:bCs/>
          <w:i/>
          <w:sz w:val="22"/>
          <w:szCs w:val="27"/>
        </w:rPr>
      </w:pPr>
      <w:r w:rsidRPr="004B7FA2">
        <w:rPr>
          <w:b/>
          <w:bCs/>
          <w:i/>
          <w:sz w:val="22"/>
          <w:szCs w:val="27"/>
        </w:rPr>
        <w:t>Fecha de última revisión: 09/02/2024</w:t>
      </w:r>
    </w:p>
    <w:p w:rsidR="006239A0" w:rsidRPr="006239A0" w:rsidRDefault="006239A0" w:rsidP="001D2EAA">
      <w:pPr>
        <w:jc w:val="both"/>
        <w:rPr>
          <w:b/>
          <w:i/>
          <w:sz w:val="28"/>
        </w:rPr>
      </w:pPr>
    </w:p>
    <w:sectPr w:rsidR="006239A0" w:rsidRPr="006239A0" w:rsidSect="001B6BAF">
      <w:footerReference w:type="default" r:id="rId9"/>
      <w:pgSz w:w="11906" w:h="16838"/>
      <w:pgMar w:top="85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D6" w:rsidRDefault="00C149D6" w:rsidP="009C178D">
      <w:r>
        <w:separator/>
      </w:r>
    </w:p>
  </w:endnote>
  <w:endnote w:type="continuationSeparator" w:id="0">
    <w:p w:rsidR="00C149D6" w:rsidRDefault="00C149D6" w:rsidP="009C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632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178D" w:rsidRPr="009C178D" w:rsidRDefault="009C178D" w:rsidP="009C178D">
            <w:pPr>
              <w:pStyle w:val="Piedepgina"/>
              <w:jc w:val="right"/>
              <w:rPr>
                <w:b/>
                <w:bCs/>
                <w:i/>
              </w:rPr>
            </w:pPr>
            <w:r w:rsidRPr="009C178D">
              <w:rPr>
                <w:i/>
              </w:rPr>
              <w:t xml:space="preserve">Página </w:t>
            </w:r>
            <w:r w:rsidRPr="009C178D">
              <w:rPr>
                <w:b/>
                <w:bCs/>
                <w:i/>
              </w:rPr>
              <w:fldChar w:fldCharType="begin"/>
            </w:r>
            <w:r w:rsidRPr="009C178D">
              <w:rPr>
                <w:b/>
                <w:bCs/>
                <w:i/>
              </w:rPr>
              <w:instrText>PAGE</w:instrText>
            </w:r>
            <w:r w:rsidRPr="009C178D">
              <w:rPr>
                <w:b/>
                <w:bCs/>
                <w:i/>
              </w:rPr>
              <w:fldChar w:fldCharType="separate"/>
            </w:r>
            <w:r w:rsidR="000D7D35">
              <w:rPr>
                <w:b/>
                <w:bCs/>
                <w:i/>
                <w:noProof/>
              </w:rPr>
              <w:t>4</w:t>
            </w:r>
            <w:r w:rsidRPr="009C178D">
              <w:rPr>
                <w:b/>
                <w:bCs/>
                <w:i/>
              </w:rPr>
              <w:fldChar w:fldCharType="end"/>
            </w:r>
            <w:r w:rsidRPr="009C178D">
              <w:rPr>
                <w:i/>
              </w:rPr>
              <w:t xml:space="preserve"> de </w:t>
            </w:r>
            <w:r w:rsidRPr="009C178D">
              <w:rPr>
                <w:b/>
                <w:bCs/>
                <w:i/>
              </w:rPr>
              <w:fldChar w:fldCharType="begin"/>
            </w:r>
            <w:r w:rsidRPr="009C178D">
              <w:rPr>
                <w:b/>
                <w:bCs/>
                <w:i/>
              </w:rPr>
              <w:instrText>NUMPAGES</w:instrText>
            </w:r>
            <w:r w:rsidRPr="009C178D">
              <w:rPr>
                <w:b/>
                <w:bCs/>
                <w:i/>
              </w:rPr>
              <w:fldChar w:fldCharType="separate"/>
            </w:r>
            <w:r w:rsidR="000D7D35">
              <w:rPr>
                <w:b/>
                <w:bCs/>
                <w:i/>
                <w:noProof/>
              </w:rPr>
              <w:t>4</w:t>
            </w:r>
            <w:r w:rsidRPr="009C178D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9C178D" w:rsidRDefault="009C17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D6" w:rsidRDefault="00C149D6" w:rsidP="009C178D">
      <w:r>
        <w:separator/>
      </w:r>
    </w:p>
  </w:footnote>
  <w:footnote w:type="continuationSeparator" w:id="0">
    <w:p w:rsidR="00C149D6" w:rsidRDefault="00C149D6" w:rsidP="009C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4139B"/>
    <w:multiLevelType w:val="hybridMultilevel"/>
    <w:tmpl w:val="8526A070"/>
    <w:lvl w:ilvl="0" w:tplc="1C0A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04CAE"/>
    <w:multiLevelType w:val="hybridMultilevel"/>
    <w:tmpl w:val="79BC9E6E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25"/>
    <w:rsid w:val="000777FC"/>
    <w:rsid w:val="000D7D35"/>
    <w:rsid w:val="001555FE"/>
    <w:rsid w:val="001B6BAF"/>
    <w:rsid w:val="001D2EAA"/>
    <w:rsid w:val="00283319"/>
    <w:rsid w:val="004B7FA2"/>
    <w:rsid w:val="005259D4"/>
    <w:rsid w:val="006239A0"/>
    <w:rsid w:val="00934023"/>
    <w:rsid w:val="00951025"/>
    <w:rsid w:val="009C178D"/>
    <w:rsid w:val="00A0011A"/>
    <w:rsid w:val="00AC1C30"/>
    <w:rsid w:val="00C149D6"/>
    <w:rsid w:val="00E75031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D3CF6"/>
  <w15:chartTrackingRefBased/>
  <w15:docId w15:val="{C79E509B-AB67-4F55-986E-3E884D0A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9A0"/>
    <w:pPr>
      <w:keepNext/>
      <w:tabs>
        <w:tab w:val="left" w:pos="3060"/>
        <w:tab w:val="left" w:pos="3600"/>
      </w:tabs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51025"/>
    <w:pPr>
      <w:jc w:val="center"/>
    </w:pPr>
    <w:rPr>
      <w:sz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51025"/>
    <w:rPr>
      <w:rFonts w:ascii="Times New Roman" w:eastAsia="Times New Roman" w:hAnsi="Times New Roman" w:cs="Times New Roman"/>
      <w:sz w:val="1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75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239A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9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9A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C17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17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C17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78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Libre Acceso a la Informacion Publica</dc:creator>
  <cp:keywords/>
  <dc:description/>
  <cp:lastModifiedBy>Libre Acceso a la Informacion Publica</cp:lastModifiedBy>
  <cp:revision>5</cp:revision>
  <cp:lastPrinted>2024-02-09T19:15:00Z</cp:lastPrinted>
  <dcterms:created xsi:type="dcterms:W3CDTF">2024-02-09T14:47:00Z</dcterms:created>
  <dcterms:modified xsi:type="dcterms:W3CDTF">2024-02-12T18:06:00Z</dcterms:modified>
</cp:coreProperties>
</file>